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F3" w:rsidRPr="00A26EF3" w:rsidRDefault="00A26EF3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A26EF3">
        <w:rPr>
          <w:rFonts w:ascii="Times New Roman" w:hAnsi="Times New Roman" w:cs="Times New Roman"/>
          <w:sz w:val="28"/>
          <w:szCs w:val="28"/>
        </w:rPr>
        <w:br/>
      </w:r>
    </w:p>
    <w:p w:rsidR="00A26EF3" w:rsidRPr="00A26EF3" w:rsidRDefault="00A26EF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Зарегистрировано в Минюсте России 26 января 2018 г. N 49797</w:t>
      </w:r>
    </w:p>
    <w:p w:rsidR="00A26EF3" w:rsidRPr="00A26EF3" w:rsidRDefault="00A26EF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A26EF3" w:rsidRPr="00A26EF3" w:rsidRDefault="00A26EF3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ПРИКАЗ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от 10 января 2018 г. N 2</w:t>
      </w:r>
    </w:p>
    <w:p w:rsidR="00A26EF3" w:rsidRPr="00A26EF3" w:rsidRDefault="00A26EF3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08.02.01 СТРОИТЕЛЬСТВО И ЭКСПЛУАТАЦИЯ ЗДАНИЙ И СООРУЖЕНИЙ</w:t>
      </w:r>
    </w:p>
    <w:p w:rsidR="00A26EF3" w:rsidRPr="00A26EF3" w:rsidRDefault="00A26EF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26EF3" w:rsidRPr="00A26E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01.09.2022 </w:t>
            </w:r>
            <w:hyperlink r:id="rId6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796</w:t>
              </w:r>
            </w:hyperlink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03.07.2024 </w:t>
            </w:r>
            <w:hyperlink r:id="rId7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464</w:t>
              </w:r>
            </w:hyperlink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27.03.2025 </w:t>
            </w:r>
            <w:hyperlink r:id="rId8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239</w:t>
              </w:r>
            </w:hyperlink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N 27, ст. 3776; 2015, N 26, ст. 3898; N 43, ст. 5976; N 46, ст. 6392; 2016, N 2, ст. 325; N 8, ст. 1121; N 28, ст. 4741; 2017, N 3, ст. 511; N 17, ст. 2567;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 xml:space="preserve">N 25, ст. 3688), </w:t>
      </w:r>
      <w:hyperlink r:id="rId9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пунктом 17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  <w:proofErr w:type="gramEnd"/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7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08.02.01 Строительство и эксплуатация зданий и сооружений (далее - стандарт).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организация вправе осуществлять в соответствии со </w:t>
      </w:r>
      <w:hyperlink w:anchor="P37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10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08.02.01 Строительство и эксплуатация зданий и сооружений, утвержденным приказом Министерства образования и науки Российской Федерации от 11 августа 2014 г. N 965 (зарегистрирован Министерством юстиции Российской Федерации 25 августа 2014 г., регистрационный N 33818), прекращается 1 сентября 2018 года.</w:t>
      </w:r>
      <w:proofErr w:type="gramEnd"/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Министр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О.Ю.ВАСИЛЬЕВА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Приложение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Утвержден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от 10 января 2018 г. N 2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A26EF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08.02.01 СТРОИТЕЛЬСТВО И ЭКСПЛУАТАЦИЯ ЗДАНИЙ И СООРУЖЕНИЙ</w:t>
      </w:r>
    </w:p>
    <w:p w:rsidR="00A26EF3" w:rsidRPr="00A26EF3" w:rsidRDefault="00A26EF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26EF3" w:rsidRPr="00A26E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01.09.2022 </w:t>
            </w:r>
            <w:hyperlink r:id="rId11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796</w:t>
              </w:r>
            </w:hyperlink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03.07.2024 </w:t>
            </w:r>
            <w:hyperlink r:id="rId12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464</w:t>
              </w:r>
            </w:hyperlink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27.03.2025 </w:t>
            </w:r>
            <w:hyperlink r:id="rId13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239</w:t>
              </w:r>
            </w:hyperlink>
            <w:r w:rsidRPr="00A26EF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профессиональному образованию (далее - СПО) по специальности 08.02.01 Строительство и эксплуатация зданий и сооружений (далее - специальность).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lastRenderedPageBreak/>
        <w:t>1.2.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Обучение по программе подготовки специалистов среднего звена (далее - образовательная программа) в образовательной организации осуществляется в очной, очно-заочной и заочной формах обучения.</w:t>
      </w:r>
      <w:proofErr w:type="gramEnd"/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1.4. Содержание СПО по специальности определяется образовательной программой, разрабатываемой и утверждаемой образовательной организацией самостоятельно в соответствии с настоящим ФГОС СПО и с учетом соответствующей примерной образовательной программы, включенной в реестр примерных образовательных программ (далее - ПОП).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. 1.4 в ред. </w:t>
      </w:r>
      <w:hyperlink r:id="rId14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1.5.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(</w:t>
      </w:r>
      <w:hyperlink w:anchor="P293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приложение N 1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к настоящему ФГОС СПО).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A26EF3">
        <w:rPr>
          <w:rFonts w:ascii="Times New Roman" w:hAnsi="Times New Roman" w:cs="Times New Roman"/>
          <w:sz w:val="28"/>
          <w:szCs w:val="28"/>
        </w:rPr>
        <w:t xml:space="preserve">1.6.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5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16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Строительство и жилищно-коммунальное хозяйство &lt;1&gt;.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6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Российской Федерации 29 марта 2017 г., регистрационный N 46168).</w:t>
      </w:r>
      <w:proofErr w:type="gramEnd"/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1.7.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lastRenderedPageBreak/>
        <w:t>1.8.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7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1.9.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&lt;2&gt;.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18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N 51, ст. 7241; 2016, N 1, ст. 8, ст. 9, ст. 24, ст. 72, ст. 78; N 10, ст. 1320; N 23, ст. 3289, ст. 3290; N 27, ст. 4160, ст. 4219, ст. 4223, ст. 4238, ст. 4239, ст. 4245, ст. 4246, ст. 4292; 2017, N 18, ст. 2670;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 xml:space="preserve">N 31, ст. 4765, официальный интернет-портал правовой информации </w:t>
      </w:r>
      <w:hyperlink r:id="rId19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http://www.pravo.gov.ru</w:t>
        </w:r>
      </w:hyperlink>
      <w:r w:rsidRPr="00A26EF3">
        <w:rPr>
          <w:rFonts w:ascii="Times New Roman" w:hAnsi="Times New Roman" w:cs="Times New Roman"/>
          <w:sz w:val="28"/>
          <w:szCs w:val="28"/>
        </w:rPr>
        <w:t>, 29 декабря 2017 г.).</w:t>
      </w:r>
      <w:proofErr w:type="gramEnd"/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на базе основного общего образования - 3 года 10 месяцев;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на базе среднего общего образования - 2 года 10 месяцев.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Срок получения образования по образовательной программе, предусматривающей получение в соответствии с </w:t>
      </w:r>
      <w:hyperlink w:anchor="P80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пунктом 1.12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настоящего ФГОС СПО квалификации специалиста среднего звена "старший техник", увеличивается на 1 год.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обучения: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не более чем на 1,5 года при получении образования на базе основного общего образования;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lastRenderedPageBreak/>
        <w:t>не более чем на 1 год при получении образования на базе среднего общего образования.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 При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Конкретный срок получения образования и объем образовательной программы, реализуемый за один учебный год, в очно-заочной и заочной формах обучения,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настоящим пунктом.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1.11.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20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ФГОС СПО и положений федеральной основной общеобразовательной программы среднего общего образования с учетом получаемой специальности &lt;2(1)&gt;.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(в ред. Приказов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03.07.2024 </w:t>
      </w:r>
      <w:hyperlink r:id="rId21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N 464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, от 27.03.2025 </w:t>
      </w:r>
      <w:hyperlink r:id="rId22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N 239</w:t>
        </w:r>
      </w:hyperlink>
      <w:r w:rsidRPr="00A26EF3">
        <w:rPr>
          <w:rFonts w:ascii="Times New Roman" w:hAnsi="Times New Roman" w:cs="Times New Roman"/>
          <w:sz w:val="28"/>
          <w:szCs w:val="28"/>
        </w:rPr>
        <w:t>)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 xml:space="preserve">&lt;2(1)&gt; Федеральный государственный образовательный </w:t>
      </w:r>
      <w:hyperlink r:id="rId23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 xml:space="preserve">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</w:t>
      </w:r>
      <w:r w:rsidRPr="00A26EF3">
        <w:rPr>
          <w:rFonts w:ascii="Times New Roman" w:hAnsi="Times New Roman" w:cs="Times New Roman"/>
          <w:sz w:val="28"/>
          <w:szCs w:val="28"/>
        </w:rPr>
        <w:lastRenderedPageBreak/>
        <w:t>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2024 г., регистрационный N 77121).</w:t>
      </w:r>
      <w:proofErr w:type="gramEnd"/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24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0"/>
      <w:bookmarkEnd w:id="2"/>
      <w:r w:rsidRPr="00A26EF3">
        <w:rPr>
          <w:rFonts w:ascii="Times New Roman" w:hAnsi="Times New Roman" w:cs="Times New Roman"/>
          <w:sz w:val="28"/>
          <w:szCs w:val="28"/>
        </w:rPr>
        <w:t xml:space="preserve">1.12.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разрабатывает образовательную программу в соответствии с выбранной квалификацией специалиста среднего звена, указанной в </w:t>
      </w:r>
      <w:hyperlink r:id="rId25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Перечне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специальностей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 и с изменениями, внесенными приказами Министерства образования и науки Российской Федерации от 14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44662):</w:t>
      </w:r>
      <w:proofErr w:type="gramEnd"/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техник;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старший техник.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&lt;3&gt;.</w:t>
      </w:r>
      <w:proofErr w:type="gramEnd"/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(п. 1.13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hyperlink r:id="rId26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01.09.2022 N 796; в ред. </w:t>
      </w:r>
      <w:hyperlink r:id="rId27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28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29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1.14.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 xml:space="preserve"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</w:t>
      </w:r>
      <w:r w:rsidRPr="00A26EF3">
        <w:rPr>
          <w:rFonts w:ascii="Times New Roman" w:hAnsi="Times New Roman" w:cs="Times New Roman"/>
          <w:sz w:val="28"/>
          <w:szCs w:val="28"/>
        </w:rPr>
        <w:lastRenderedPageBreak/>
        <w:t>рамках федерального проекта "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&lt;4&gt;.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(п. 1.14 в ред. </w:t>
      </w:r>
      <w:hyperlink r:id="rId30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31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Пункт 11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>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32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2.1. Структура образовательной программы включает обязательную часть и часть, формируемую участниками образовательных отношений (вариативную часть).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59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настоящего ФГОС СПО, и должна составлять не более 70 процентов от общего объема времени, отведенного на ее освоение.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(не менее 30 процентов) дает возможность расширения основног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A26EF3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>) вида(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) деятельности, к которым должен быть готов выпускник, освоивший образовательную программу, согласно выбранной квалификации, указанной в </w:t>
      </w:r>
      <w:hyperlink w:anchor="P80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настоящего ФГОС СПО (далее - основные виды деятельности),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2.2. Образовательная программа имеет следующую структуру: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lastRenderedPageBreak/>
        <w:t>общий гуманитарный и социально-экономический цикл;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математический и общий естественнонаучный цикл;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профессиональный цикл;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аттестация, которая завершается присвоением квалификации специалиста среднего звена, указанной в </w:t>
      </w:r>
      <w:hyperlink w:anchor="P80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настоящего ФГОС СПО.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Таблица N 1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 w:rsidRPr="00A26EF3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984"/>
        <w:gridCol w:w="1984"/>
      </w:tblGrid>
      <w:tr w:rsidR="00A26EF3" w:rsidRPr="00A26EF3">
        <w:tc>
          <w:tcPr>
            <w:tcW w:w="5102" w:type="dxa"/>
            <w:vMerge w:val="restart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3968" w:type="dxa"/>
            <w:gridSpan w:val="2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 в академических часах</w:t>
            </w:r>
          </w:p>
        </w:tc>
      </w:tr>
      <w:tr w:rsidR="00A26EF3" w:rsidRPr="00A26EF3">
        <w:tc>
          <w:tcPr>
            <w:tcW w:w="5102" w:type="dxa"/>
            <w:vMerge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при получении квалификации специалиста среднего звена "техник"</w:t>
            </w:r>
          </w:p>
        </w:tc>
        <w:tc>
          <w:tcPr>
            <w:tcW w:w="1984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при получении квалификации специалиста среднего звена "старший техник"</w:t>
            </w:r>
          </w:p>
        </w:tc>
      </w:tr>
      <w:tr w:rsidR="00A26EF3" w:rsidRPr="00A26EF3">
        <w:tc>
          <w:tcPr>
            <w:tcW w:w="5102" w:type="dxa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Общий гуманитарный и социально-экономический цикл</w:t>
            </w:r>
          </w:p>
        </w:tc>
        <w:tc>
          <w:tcPr>
            <w:tcW w:w="1984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не менее 468</w:t>
            </w:r>
          </w:p>
        </w:tc>
        <w:tc>
          <w:tcPr>
            <w:tcW w:w="1984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не менее 504</w:t>
            </w:r>
          </w:p>
        </w:tc>
      </w:tr>
      <w:tr w:rsidR="00A26EF3" w:rsidRPr="00A26EF3">
        <w:tc>
          <w:tcPr>
            <w:tcW w:w="5102" w:type="dxa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Математический и общий естественнонаучный цикл</w:t>
            </w:r>
          </w:p>
        </w:tc>
        <w:tc>
          <w:tcPr>
            <w:tcW w:w="1984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не менее 144</w:t>
            </w:r>
          </w:p>
        </w:tc>
        <w:tc>
          <w:tcPr>
            <w:tcW w:w="1984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не менее 180</w:t>
            </w:r>
          </w:p>
        </w:tc>
      </w:tr>
      <w:tr w:rsidR="00A26EF3" w:rsidRPr="00A26EF3">
        <w:tc>
          <w:tcPr>
            <w:tcW w:w="5102" w:type="dxa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Общепрофессиональный цикл</w:t>
            </w:r>
          </w:p>
        </w:tc>
        <w:tc>
          <w:tcPr>
            <w:tcW w:w="1984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не менее 612</w:t>
            </w:r>
          </w:p>
        </w:tc>
        <w:tc>
          <w:tcPr>
            <w:tcW w:w="1984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не менее 648</w:t>
            </w:r>
          </w:p>
        </w:tc>
      </w:tr>
      <w:tr w:rsidR="00A26EF3" w:rsidRPr="00A26EF3">
        <w:tc>
          <w:tcPr>
            <w:tcW w:w="5102" w:type="dxa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Профессиональный цикл</w:t>
            </w:r>
          </w:p>
        </w:tc>
        <w:tc>
          <w:tcPr>
            <w:tcW w:w="1984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не менее 1728</w:t>
            </w:r>
          </w:p>
        </w:tc>
        <w:tc>
          <w:tcPr>
            <w:tcW w:w="1984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не менее 2664</w:t>
            </w:r>
          </w:p>
        </w:tc>
      </w:tr>
      <w:tr w:rsidR="00A26EF3" w:rsidRPr="00A26EF3">
        <w:tc>
          <w:tcPr>
            <w:tcW w:w="5102" w:type="dxa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984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984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A26EF3" w:rsidRPr="00A26EF3">
        <w:tc>
          <w:tcPr>
            <w:tcW w:w="9070" w:type="dxa"/>
            <w:gridSpan w:val="3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A26EF3" w:rsidRPr="00A26EF3">
        <w:tc>
          <w:tcPr>
            <w:tcW w:w="5102" w:type="dxa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1984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4464</w:t>
            </w:r>
          </w:p>
        </w:tc>
        <w:tc>
          <w:tcPr>
            <w:tcW w:w="1984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5940</w:t>
            </w:r>
          </w:p>
        </w:tc>
      </w:tr>
      <w:tr w:rsidR="00A26EF3" w:rsidRPr="00A26EF3">
        <w:tblPrEx>
          <w:tblBorders>
            <w:insideH w:val="nil"/>
          </w:tblBorders>
        </w:tblPrEx>
        <w:tc>
          <w:tcPr>
            <w:tcW w:w="5102" w:type="dxa"/>
            <w:tcBorders>
              <w:bottom w:val="nil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</w:t>
            </w: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образования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5940</w:t>
            </w:r>
          </w:p>
        </w:tc>
        <w:tc>
          <w:tcPr>
            <w:tcW w:w="1984" w:type="dxa"/>
            <w:tcBorders>
              <w:bottom w:val="nil"/>
            </w:tcBorders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7416</w:t>
            </w:r>
          </w:p>
        </w:tc>
      </w:tr>
      <w:tr w:rsidR="00A26EF3" w:rsidRPr="00A26EF3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ред. </w:t>
            </w:r>
            <w:hyperlink r:id="rId34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03.07.2024 N 464)</w:t>
            </w:r>
          </w:p>
        </w:tc>
      </w:tr>
    </w:tbl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2.3. Перечень, содержание, объем и порядок реализации дисциплин (модулей) образовательной программы образовательная организация определяет самостоятельно с учетом ПОП по соответствующей специальности.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5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2.4. В общем гуманитарном и социально-экономическом, математическом и общем естественнонаучном, общепрофессиональном и профессиональном циклах (далее - учебные циклы) образовательной программы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самостоятельной работы обучающихся.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 xml:space="preserve">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программы, предусмотренного </w:t>
      </w:r>
      <w:hyperlink w:anchor="P111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Таблицей N 1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настоящего ФГОС СПО, в очно-заочной форме обучения - не менее 25 процентов, в заочной форме - не менее 10 процентов.</w:t>
      </w:r>
      <w:proofErr w:type="gramEnd"/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 (модулям) и практикам результатов обучения.</w:t>
      </w:r>
      <w:proofErr w:type="gramEnd"/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2.5. Обязательная часть общего гуманитарного и социально-экономического цикла образовательной программы должна предусматривать изучение следующих дисциплин: "Основы философии", "История", "Психология общения", "Иностранный язык в профессиональной деятельности", "Физическая культура".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Общий объем дисциплины "Физическая культура" не может быть менее 160 академических часов.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lastRenderedPageBreak/>
        <w:t>2.6. При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2.7. Освоение общепрофессионального цикла образовательной программы в очной форме обучения должно предусматривать изучение дисциплины "Безопасность жизнедеятельности"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2.8. 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2.9. Государственная итоговая аттестация проводится в форме демонстрационного экзамена и защиты дипломного проекта (работы).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. 2.9 в ред. </w:t>
      </w:r>
      <w:hyperlink r:id="rId36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59"/>
      <w:bookmarkEnd w:id="4"/>
      <w:r w:rsidRPr="00A26EF3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>):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7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(п. 3.2 в ред. </w:t>
      </w:r>
      <w:hyperlink r:id="rId39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быть готов к выполнению основных видов деятельности согласно получаемой квалификации специалиста среднего звена, указанной в </w:t>
      </w:r>
      <w:hyperlink w:anchor="P80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настоящего ФГОС СПО.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Таблица N 2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80"/>
      <w:bookmarkEnd w:id="5"/>
      <w:r w:rsidRPr="00A26EF3">
        <w:rPr>
          <w:rFonts w:ascii="Times New Roman" w:hAnsi="Times New Roman" w:cs="Times New Roman"/>
          <w:sz w:val="28"/>
          <w:szCs w:val="28"/>
        </w:rPr>
        <w:t>Соотнесение основных видов деятельности</w:t>
      </w:r>
    </w:p>
    <w:p w:rsidR="00A26EF3" w:rsidRPr="00A26EF3" w:rsidRDefault="00A26E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lastRenderedPageBreak/>
        <w:t>и квалификаций специалиста среднего звена при формировании</w:t>
      </w:r>
    </w:p>
    <w:p w:rsidR="00A26EF3" w:rsidRPr="00A26EF3" w:rsidRDefault="00A26E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2"/>
        <w:gridCol w:w="3249"/>
      </w:tblGrid>
      <w:tr w:rsidR="00A26EF3" w:rsidRPr="00A26EF3">
        <w:tc>
          <w:tcPr>
            <w:tcW w:w="5822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3249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Наименование квалификаци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й) специалиста среднего звена</w:t>
            </w:r>
          </w:p>
        </w:tc>
      </w:tr>
      <w:tr w:rsidR="00A26EF3" w:rsidRPr="00A26EF3">
        <w:tc>
          <w:tcPr>
            <w:tcW w:w="5822" w:type="dxa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Участие в проектировании зданий и сооружений</w:t>
            </w:r>
          </w:p>
        </w:tc>
        <w:tc>
          <w:tcPr>
            <w:tcW w:w="3249" w:type="dxa"/>
            <w:vAlign w:val="center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</w:tr>
      <w:tr w:rsidR="00A26EF3" w:rsidRPr="00A26EF3">
        <w:tc>
          <w:tcPr>
            <w:tcW w:w="5822" w:type="dxa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249" w:type="dxa"/>
            <w:vAlign w:val="center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</w:tr>
      <w:tr w:rsidR="00A26EF3" w:rsidRPr="00A26EF3">
        <w:tc>
          <w:tcPr>
            <w:tcW w:w="5822" w:type="dxa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  <w:tc>
          <w:tcPr>
            <w:tcW w:w="3249" w:type="dxa"/>
            <w:vAlign w:val="center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</w:tr>
      <w:tr w:rsidR="00A26EF3" w:rsidRPr="00A26EF3">
        <w:tc>
          <w:tcPr>
            <w:tcW w:w="5822" w:type="dxa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Организация видов работ при эксплуатации и реконструкции строительных объектов</w:t>
            </w:r>
          </w:p>
        </w:tc>
        <w:tc>
          <w:tcPr>
            <w:tcW w:w="3249" w:type="dxa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</w:tr>
      <w:tr w:rsidR="00A26EF3" w:rsidRPr="00A26EF3">
        <w:tc>
          <w:tcPr>
            <w:tcW w:w="5822" w:type="dxa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Вспомогательная деятельность по сбору и хранению информации, необходимой для обеспечения строительного производства строительными и вспомогательными материалами и оборудованием</w:t>
            </w:r>
          </w:p>
        </w:tc>
        <w:tc>
          <w:tcPr>
            <w:tcW w:w="3249" w:type="dxa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</w:tr>
      <w:tr w:rsidR="00A26EF3" w:rsidRPr="00A26EF3">
        <w:tc>
          <w:tcPr>
            <w:tcW w:w="5822" w:type="dxa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складского хозяйства</w:t>
            </w:r>
          </w:p>
        </w:tc>
        <w:tc>
          <w:tcPr>
            <w:tcW w:w="3249" w:type="dxa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</w:tr>
    </w:tbl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К основным видам деятельности также относится освоение одной или нескольких профессий рабочих, должностей служащих, указанных в </w:t>
      </w:r>
      <w:hyperlink w:anchor="P329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приложении N 2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к настоящему ФГОС СПО.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3.4. Выпускник, освоивший образовательную программу, должен обладать следующими профессиональными компетенциями (далее - ПК), соответствующими основным видам деятельности, указанным в </w:t>
      </w:r>
      <w:hyperlink w:anchor="P180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Таблице N 2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настоящего ФГОС СПО: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3.4.1. Участие в проектировании зданий и сооружений: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1.1. 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lastRenderedPageBreak/>
        <w:t>ПК 1.2. Выполнять расчеты и конструирование строительных конструкций;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1.3. Разрабатывать архитектурно-строительные чертежи с использованием средств автоматизированного проектирования;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1.4. Участвовать в разработке проекта производства работ с применением информационных технологий.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3.4.2. Выполнение технологических процессов на объекте капитального строительства: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2.1. Выполнять подготовительные работы на строительной площадке;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2.2. Выполнять строительно-монтажные, в том числе отделочные работы на объекте капитального строительства;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2.3. Проводить оперативный учет объемов выполняемых работ и расходов материальных ресурсов;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2.4. Осуществлять мероприятия по контролю качества выполняемых работ и расходуемых материалов;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3.4.3. 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сооружений: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3.1. Осуществлять оперативное планирование деятельности структурных подразделений при проведении строительно-монтажных работ, в том числе отделочных работ, текущего ремонта и реконструкции строительных объектов,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3.2. Обеспечивать работу структурных подразделений при выполнении производственных задач;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3.3. Обеспечивать ведение текущей и исполнительной документации по выполняемым видам строительных работ;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3.4. Контролировать и оценивать деятельность структурных подразделений;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3.5. 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3.4.4. Организация видов работ при эксплуатации и реконструкции </w:t>
      </w:r>
      <w:r w:rsidRPr="00A26EF3">
        <w:rPr>
          <w:rFonts w:ascii="Times New Roman" w:hAnsi="Times New Roman" w:cs="Times New Roman"/>
          <w:sz w:val="28"/>
          <w:szCs w:val="28"/>
        </w:rPr>
        <w:lastRenderedPageBreak/>
        <w:t>строительных объектов: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4.1. Организовывать работу по технической эксплуатации зданий и сооружений;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4.2. Выполнять мероприятия по технической эксплуатации конструкций и инженерного оборудования зданий;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4.3. Принимать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4.4. Осуществлять мероприятия по оценке технического состояния и реконструкции зданий.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3.4.5. Вспомогательная деятельность по сбору и хранению информации, необходимой для обеспечения строительного производства строительными и вспомогательными материалами и оборудованием: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5.1. Составление сводных спецификаций и таблиц потребности в строительных и вспомогательных материалах и оборудовании;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5.2. Формирование базы данных по строительным и вспомогательным материалам и оборудованию в привязке к поставщикам и (или) производителям.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3.4.6. Организация работы складского хозяйства: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6.1. Приемка и хранение строительных и вспомогательных материалов и оборудования;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6.2. Организация выдачи строительных и вспомогательных материалов и оборудования;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ПК 6.3. Создание условий для безопасного хранения и сохранности складируемых строительных материалов и оборудования без потери эксплуатационных свойств.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3.5. Обучающиеся, осваивающие образовательную программу, осваивают также профессию рабочего (одну или несколько) в соответствии с перечнем профессий рабочих, должностей служащих, рекомендуемых к освоению в рамках образовательной программы по специальности (</w:t>
      </w:r>
      <w:hyperlink w:anchor="P329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приложение N 2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к ФГОС СПО).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3.6. Минимальные требования к результатам освоения основных видов деятельности образовательной программы указаны в </w:t>
      </w:r>
      <w:hyperlink w:anchor="P362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приложении N 3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к настоящему ФГОС СПО.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lastRenderedPageBreak/>
        <w:t xml:space="preserve">3.7. Образовательная организация самостоятельно планирует результаты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и ПК в соответствии с получаемой квалификацией специалиста среднего звена, указанной в </w:t>
      </w:r>
      <w:hyperlink w:anchor="P80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пункте 1.12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настоящего ФГОС СПО.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4.1.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кадровым и финансовым условиям реализации образовательной программы.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4.2. Общесистемные требования к условиям реализации образовательной программы.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ПОП.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. 4.2.1 в ред. </w:t>
      </w:r>
      <w:hyperlink r:id="rId40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4.2.2.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4.2.3.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4.3. Требования к материально-техническому и учебно-методическому обеспечению реализации образовательной программы.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4.3.1. 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</w:t>
      </w:r>
      <w:r w:rsidRPr="00A26EF3">
        <w:rPr>
          <w:rFonts w:ascii="Times New Roman" w:hAnsi="Times New Roman" w:cs="Times New Roman"/>
          <w:sz w:val="28"/>
          <w:szCs w:val="28"/>
        </w:rPr>
        <w:lastRenderedPageBreak/>
        <w:t>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4.3.2.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В случае применения электронного обучения, дистанционных образовательных технологий допускается применение специально оборудованных помещений, их виртуальных аналогов, позволяющих обучающимся осваивать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26EF3">
        <w:rPr>
          <w:rFonts w:ascii="Times New Roman" w:hAnsi="Times New Roman" w:cs="Times New Roman"/>
          <w:sz w:val="28"/>
          <w:szCs w:val="28"/>
        </w:rPr>
        <w:t xml:space="preserve"> и ПК.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4.3.3. Образовательная организация должна быть обеспечена необходимым комплектом лицензионного программного обеспечения.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4.3.4. Библиотечный фонд образовательной организации должен быть укомплектован печатными изданиями и (или) электронными изданиями по каждой дисциплине (модулю) из расчета одно печатное издание и (или) электронное издание по каждой дисциплине (модулю) на одного обучающегося.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В качестве основной литературы образовательная организация использует учебники, учебные пособия, предусмотренные ПОП.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электронно-библиотечной системе (электронной библиотеке).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4.3.5.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4.3.6. Образовательная программа должна обеспечиваться учебно-методической документацией по всем учебным дисциплинам (модулям).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4.3.7.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4.4. Требования к кадровым условиям реализации образовательной </w:t>
      </w:r>
      <w:r w:rsidRPr="00A26EF3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 w:rsidRPr="00A26EF3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52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пункте 1.6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настоящего ФГОС СПО (имеющих стаж работы в данной профессиональной области не менее 3 лет).</w:t>
      </w:r>
      <w:proofErr w:type="gramEnd"/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4.4.2.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52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пункте 1.6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настоящего ФГОС СПО, не реже 1 раза в 3 года с учетом расширения спектра профессиональных компетенций.</w:t>
      </w:r>
      <w:proofErr w:type="gramEnd"/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EF3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anchor="P52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пункте 1.6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настоящего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4.5. Требование к финансовым условиям реализации образовательной программы.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4.5.1.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&lt;5&gt; и Федеральным </w:t>
      </w:r>
      <w:hyperlink r:id="rId43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 &lt;6&gt;.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(п. 4.5 в ред. </w:t>
      </w:r>
      <w:hyperlink r:id="rId44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01.09.2022 N 796)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 xml:space="preserve">&lt;5&gt; Бюджетный </w:t>
      </w:r>
      <w:hyperlink r:id="rId45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1998, N 31, ст. 3823; 2022, N 29, ст. 5305).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lastRenderedPageBreak/>
        <w:t>&lt;6&gt; Собрание законодательства Российской Федерации, 2012, N 53, ст. 7598; 2022, N 29, ст. 5262.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4.6. Требования к применяемым механизмам оценки качества образовательной программы.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4.6.1. 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4.6.2.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A26EF3" w:rsidRPr="00A26EF3" w:rsidRDefault="00A26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4.6.3.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A26EF3" w:rsidRPr="00A26EF3" w:rsidRDefault="00A26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. 4.6.3 в ред. </w:t>
      </w:r>
      <w:hyperlink r:id="rId46">
        <w:r w:rsidRPr="00A26EF3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A26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E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6EF3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к федеральному государственному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образовательному стандарту среднего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по специальности 08.02.01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Строительство и эксплуатация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зданий и сооружений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93"/>
      <w:bookmarkEnd w:id="6"/>
      <w:r w:rsidRPr="00A26EF3">
        <w:rPr>
          <w:rFonts w:ascii="Times New Roman" w:hAnsi="Times New Roman" w:cs="Times New Roman"/>
          <w:sz w:val="28"/>
          <w:szCs w:val="28"/>
        </w:rPr>
        <w:t>ПЕРЕЧЕНЬ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ПРОФЕССИОНАЛЬНЫХ СТАНДАРТОВ, СООТВЕТСТВУЮЩИХ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ПРОФЕССИОНАЛЬНОЙ ДЕЯТЕЛЬНОСТИ ВЫПУСКНИКОВ ОБРАЗОВАТЕЛЬНОЙ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ПРОГРАММЫ СРЕДНЕГО ПРОФЕССИОНАЛЬНОГО ОБРАЗОВАНИЯ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ПО СПЕЦИАЛЬНОСТИ 08.02.01 СТРОИТЕЛЬСТВО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И ЭКСПЛУАТАЦИЯ ЗДАНИЙ И СООРУЖЕНИЙ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6849"/>
      </w:tblGrid>
      <w:tr w:rsidR="00A26EF3" w:rsidRPr="00A26EF3">
        <w:tc>
          <w:tcPr>
            <w:tcW w:w="2222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профессионального стандарта</w:t>
            </w:r>
          </w:p>
        </w:tc>
        <w:tc>
          <w:tcPr>
            <w:tcW w:w="6849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профессионального стандарта</w:t>
            </w:r>
          </w:p>
        </w:tc>
      </w:tr>
      <w:tr w:rsidR="00A26EF3" w:rsidRPr="00A26EF3">
        <w:tc>
          <w:tcPr>
            <w:tcW w:w="2222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9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6EF3" w:rsidRPr="00A26EF3">
        <w:tc>
          <w:tcPr>
            <w:tcW w:w="2222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16.011</w:t>
            </w:r>
          </w:p>
        </w:tc>
        <w:tc>
          <w:tcPr>
            <w:tcW w:w="6849" w:type="dxa"/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hyperlink r:id="rId47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</w:t>
              </w:r>
            </w:hyperlink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"Специалист по эксплуатации и обслуживанию многоквартирного дома", утвержден приказом Министерства труда и социальной защиты Российской Федерации от 11 апреля 2014 г. N 238н (зарегистрирован Министерством юстиции Российской Федерации 22 мая 2014 г., регистрационный N 32395),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13 января 2017 г., регистрационный N 45230)</w:t>
            </w:r>
            <w:proofErr w:type="gramEnd"/>
          </w:p>
        </w:tc>
      </w:tr>
      <w:tr w:rsidR="00A26EF3" w:rsidRPr="00A26EF3">
        <w:tc>
          <w:tcPr>
            <w:tcW w:w="2222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16.025</w:t>
            </w:r>
          </w:p>
        </w:tc>
        <w:tc>
          <w:tcPr>
            <w:tcW w:w="6849" w:type="dxa"/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hyperlink r:id="rId48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</w:t>
              </w:r>
            </w:hyperlink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"Организатор строительного производства", утвержден приказом Министерства труда и социальной защиты Российской Федерации от 26 июня 2017 г. N 516н (зарегистрирован Министерством юстиции Российской Федерации 18 июля 2017 г., регистрационный N 47442), с изменениями, внесенными приказом Министерства труда и социальной защиты Российской Федерации от 12 сентября 2017 г. N 671н (зарегистрирован Министерством юстиции Российской Федерации 3 октября 2017 г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., регистрационный N 48407)</w:t>
            </w:r>
          </w:p>
        </w:tc>
      </w:tr>
      <w:tr w:rsidR="00A26EF3" w:rsidRPr="00A26EF3">
        <w:tc>
          <w:tcPr>
            <w:tcW w:w="2222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16.032</w:t>
            </w:r>
          </w:p>
        </w:tc>
        <w:tc>
          <w:tcPr>
            <w:tcW w:w="6849" w:type="dxa"/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hyperlink r:id="rId49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</w:t>
              </w:r>
            </w:hyperlink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"Специалист в области производственно-технического и технологического обеспечения строительного производства", утвержден приказом Министерства труда и социальной защиты Российской Федерации от 27 ноября 2014 г. N 943н (зарегистрирован Министерством юстиции Российской Федерации 22 декабря 2014 г., регистрационный N 35301)</w:t>
            </w:r>
          </w:p>
        </w:tc>
      </w:tr>
      <w:tr w:rsidR="00A26EF3" w:rsidRPr="00A26EF3">
        <w:tc>
          <w:tcPr>
            <w:tcW w:w="2222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16.033</w:t>
            </w:r>
          </w:p>
        </w:tc>
        <w:tc>
          <w:tcPr>
            <w:tcW w:w="6849" w:type="dxa"/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hyperlink r:id="rId50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</w:t>
              </w:r>
            </w:hyperlink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"Специалист в области планово-экономического обеспечения строительного производства", утвержден приказом Министерства труда и социальной защиты Российской Федерации от 8 декабря 2014 г. N 983н (зарегистрирован Министерством юстиции Российской Федерации 30 </w:t>
            </w: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 2014 г., регистрационный N 35482)</w:t>
            </w:r>
          </w:p>
        </w:tc>
      </w:tr>
      <w:tr w:rsidR="00A26EF3" w:rsidRPr="00A26EF3">
        <w:tc>
          <w:tcPr>
            <w:tcW w:w="2222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16.034</w:t>
            </w:r>
          </w:p>
        </w:tc>
        <w:tc>
          <w:tcPr>
            <w:tcW w:w="6849" w:type="dxa"/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hyperlink r:id="rId51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</w:t>
              </w:r>
            </w:hyperlink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"Специалист в области обеспечения строительного производства материалами и конструкциями", утвержден приказом Министерства труда и социальной защиты Российской Федерации от 4 декабря 2014 г. N 972н (зарегистрирован Министерством юстиции Российской Федерации 29 декабря 2014 г., регистрационный N 35470)</w:t>
            </w:r>
          </w:p>
        </w:tc>
      </w:tr>
      <w:tr w:rsidR="00A26EF3" w:rsidRPr="00A26EF3">
        <w:tc>
          <w:tcPr>
            <w:tcW w:w="2222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16.093</w:t>
            </w:r>
          </w:p>
        </w:tc>
        <w:tc>
          <w:tcPr>
            <w:tcW w:w="6849" w:type="dxa"/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hyperlink r:id="rId52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</w:t>
              </w:r>
            </w:hyperlink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"Специалист по строительному контролю систем защиты от коррозии", утвержден приказом Министерства труда и социальной защиты Российской Федерации от 13 апреля 2016 г. N 165н (зарегистрирован Министерством юстиции Российской Федерации 16 мая 2016 г., регистрационный N 42104)</w:t>
            </w:r>
          </w:p>
        </w:tc>
      </w:tr>
    </w:tbl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к федеральному государственному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образовательному стандарту среднего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по специальности 08.02.01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Строительство и эксплуатация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зданий и сооружений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29"/>
      <w:bookmarkEnd w:id="7"/>
      <w:r w:rsidRPr="00A26EF3">
        <w:rPr>
          <w:rFonts w:ascii="Times New Roman" w:hAnsi="Times New Roman" w:cs="Times New Roman"/>
          <w:sz w:val="28"/>
          <w:szCs w:val="28"/>
        </w:rPr>
        <w:t>ПЕРЕЧЕНЬ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ПРОФЕССИЙ РАБОЧИХ, ДОЛЖНОСТЕЙ СЛУЖАЩИХ, РЕКОМЕНДУЕМЫХ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К ОСВОЕНИЮ В РАМКАХ ПРОГРАММЫ ПОДГОТОВКИ СПЕЦИАЛИСТОВ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СРЕДНЕГО ЗВЕНА ПО СПЕЦИАЛЬНОСТИ 08.02.01 СТРОИТЕЛЬСТВО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И ЭКСПЛУАТАЦИЯ ЗДАНИЙ И СООРУЖЕНИЙ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A26EF3" w:rsidRPr="00A26EF3">
        <w:tc>
          <w:tcPr>
            <w:tcW w:w="6123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53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Перечню</w:t>
              </w:r>
            </w:hyperlink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 рабочих, должностей служащих, по которым осуществляется профессиональное обучение, утвержденному приказом Министерства образования и науки Российской Федерации от 2 июля 2013 г. N 513 </w:t>
            </w: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(зарегистрирован Министерством юстиции Российской Федерации 8 августа 2013 г., регистрационный N 29322), с изменениями, внесенными приказами Министерства образования и науки Российской Федерации от 16 декабря 2013 г. N 1348 (зарегистрирован Министерством юстиции Российской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Федерации 29 января 2014 г., регистрационный N 31163), от 28 марта 2014 г. N 244 (зарегистрирован Министерством юстиции Российской Федерации 15 апреля 2014 г., регистрационный N 31953), от 27 июня 2014 г. N 695 (зарегистрирован Министерством юстиции Российской Федерации 22 июля 2014 г., регистрационный N 33205), от 3 февраля 2017 г. N 106 (зарегистрирован Министерством юстиции Российской Федерации 11 апреля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2017 г., регистрационный N 46339)</w:t>
            </w:r>
            <w:proofErr w:type="gramEnd"/>
          </w:p>
        </w:tc>
        <w:tc>
          <w:tcPr>
            <w:tcW w:w="2948" w:type="dxa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профессий рабочих, должностей служащих</w:t>
            </w:r>
          </w:p>
        </w:tc>
      </w:tr>
      <w:tr w:rsidR="00A26EF3" w:rsidRPr="00A26EF3">
        <w:tc>
          <w:tcPr>
            <w:tcW w:w="6123" w:type="dxa"/>
            <w:vAlign w:val="center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12680</w:t>
              </w:r>
            </w:hyperlink>
          </w:p>
        </w:tc>
        <w:tc>
          <w:tcPr>
            <w:tcW w:w="2948" w:type="dxa"/>
            <w:vAlign w:val="center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Каменщик</w:t>
            </w:r>
          </w:p>
        </w:tc>
      </w:tr>
      <w:tr w:rsidR="00A26EF3" w:rsidRPr="00A26EF3">
        <w:tc>
          <w:tcPr>
            <w:tcW w:w="6123" w:type="dxa"/>
            <w:vAlign w:val="center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13450</w:t>
              </w:r>
            </w:hyperlink>
          </w:p>
        </w:tc>
        <w:tc>
          <w:tcPr>
            <w:tcW w:w="2948" w:type="dxa"/>
            <w:vAlign w:val="center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Маляр</w:t>
            </w:r>
          </w:p>
        </w:tc>
      </w:tr>
      <w:tr w:rsidR="00A26EF3" w:rsidRPr="00A26EF3">
        <w:tc>
          <w:tcPr>
            <w:tcW w:w="6123" w:type="dxa"/>
            <w:vAlign w:val="center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15220</w:t>
              </w:r>
            </w:hyperlink>
          </w:p>
        </w:tc>
        <w:tc>
          <w:tcPr>
            <w:tcW w:w="2948" w:type="dxa"/>
            <w:vAlign w:val="center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Облицовщик-плиточник</w:t>
            </w:r>
          </w:p>
        </w:tc>
      </w:tr>
      <w:tr w:rsidR="00A26EF3" w:rsidRPr="00A26EF3">
        <w:tc>
          <w:tcPr>
            <w:tcW w:w="6123" w:type="dxa"/>
            <w:vAlign w:val="center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16671</w:t>
              </w:r>
            </w:hyperlink>
          </w:p>
        </w:tc>
        <w:tc>
          <w:tcPr>
            <w:tcW w:w="2948" w:type="dxa"/>
            <w:vAlign w:val="center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Плотник</w:t>
            </w:r>
          </w:p>
        </w:tc>
      </w:tr>
      <w:tr w:rsidR="00A26EF3" w:rsidRPr="00A26EF3">
        <w:tc>
          <w:tcPr>
            <w:tcW w:w="6123" w:type="dxa"/>
            <w:vAlign w:val="center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>
              <w:r w:rsidRPr="00A26EF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19727</w:t>
              </w:r>
            </w:hyperlink>
          </w:p>
        </w:tc>
        <w:tc>
          <w:tcPr>
            <w:tcW w:w="2948" w:type="dxa"/>
            <w:vAlign w:val="center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Штукатур</w:t>
            </w:r>
          </w:p>
        </w:tc>
      </w:tr>
      <w:tr w:rsidR="00A26EF3" w:rsidRPr="00A26EF3">
        <w:tc>
          <w:tcPr>
            <w:tcW w:w="6123" w:type="dxa"/>
            <w:vAlign w:val="center"/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Монтажник каркасно-обшивных конструкций</w:t>
            </w:r>
          </w:p>
        </w:tc>
      </w:tr>
    </w:tbl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к федеральному государственному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образовательному стандарту среднего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по специальности 08.02.01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Строительство и эксплуатация</w:t>
      </w:r>
    </w:p>
    <w:p w:rsidR="00A26EF3" w:rsidRPr="00A26EF3" w:rsidRDefault="00A26E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зданий и сооружений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62"/>
      <w:bookmarkEnd w:id="8"/>
      <w:r w:rsidRPr="00A26EF3">
        <w:rPr>
          <w:rFonts w:ascii="Times New Roman" w:hAnsi="Times New Roman" w:cs="Times New Roman"/>
          <w:sz w:val="28"/>
          <w:szCs w:val="28"/>
        </w:rPr>
        <w:t>МИНИМАЛЬНЫЕ ТРЕБОВАНИЯ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lastRenderedPageBreak/>
        <w:t>К РЕЗУЛЬТАТАМ ОСВОЕНИЯ ОСНОВНЫХ ВИДОВ ДЕЯТЕЛЬНОСТИ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ОБРАЗОВАТЕЛЬНОЙ ПРОГРАММЫ СРЕДНЕГО ПРОФЕССИОНАЛЬНОГО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ОБРАЗОВАНИЯ ПО СПЕЦИАЛЬНОСТИ 08.02.01 СТРОИТЕЛЬСТВО</w:t>
      </w:r>
    </w:p>
    <w:p w:rsidR="00A26EF3" w:rsidRPr="00A26EF3" w:rsidRDefault="00A26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EF3">
        <w:rPr>
          <w:rFonts w:ascii="Times New Roman" w:hAnsi="Times New Roman" w:cs="Times New Roman"/>
          <w:sz w:val="28"/>
          <w:szCs w:val="28"/>
        </w:rPr>
        <w:t>И ЭКСПЛУАТАЦИЯ ЗДАНИЙ И СООРУЖЕНИЙ</w:t>
      </w: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7200"/>
      </w:tblGrid>
      <w:tr w:rsidR="00A26EF3" w:rsidRPr="00A26EF3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A26EF3" w:rsidRPr="00A26EF3" w:rsidRDefault="00A26E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Требования к знаниям, умениям, практическому опыту</w:t>
            </w:r>
          </w:p>
        </w:tc>
      </w:tr>
      <w:tr w:rsidR="00A26EF3" w:rsidRPr="00A26EF3">
        <w:tc>
          <w:tcPr>
            <w:tcW w:w="1871" w:type="dxa"/>
            <w:vMerge w:val="restart"/>
            <w:tcBorders>
              <w:top w:val="single" w:sz="4" w:space="0" w:color="auto"/>
              <w:bottom w:val="nil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Участие в проектировании зданий и сооружений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виды и свойства основных строительных материалов, изделий и конструкций, в том числе применяемых при электрозащите, тепло- и звукоизоляции, огнезащите, при создании решений для влажных и мокрых помещений, антивандальной защиты; конструктивные системы зданий, основные узлы сопряжений конструкций зданий; принципы проектирования схемы планировочной организации земельного участка;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международные стандарты по проектированию строительных конструкций, в том числе информационное моделирование зданий (BIM-технологии), способы и методы планирования строительных работ (календарные планы, графики производства работ);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виды и характеристики строительных машин, энергетических установок, транспортных средств и другой техники;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требования нормативных правовых актов и нормативных технических документов к составу, содержанию и оформлению проектной документации;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в составе 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проекта организации строительства ведомости потребности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в строительных конструкциях, изделиях, материалах и оборудовании, методы расчетов линейных и сетевых графиков, проектирования строительных генеральных планов;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графики потребности в основных строительных машинах, транспортных средствах и в кадрах строителей по основным категориям особенности выполнения строительных чертежей;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графические обозначения материалов и элементов конструкций;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требования нормативно-технической документации на оформление строительных чертежей;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элементам конструкций здания, </w:t>
            </w: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 и общего имущества многоквартирных жилых домов, обусловленных необходимостью их доступности и соответствия особым потребностям инвалидов.</w:t>
            </w:r>
          </w:p>
        </w:tc>
      </w:tr>
      <w:tr w:rsidR="00A26EF3" w:rsidRPr="00A26EF3">
        <w:tblPrEx>
          <w:tblBorders>
            <w:insideH w:val="none" w:sz="0" w:space="0" w:color="auto"/>
          </w:tblBorders>
        </w:tblPrEx>
        <w:tc>
          <w:tcPr>
            <w:tcW w:w="1871" w:type="dxa"/>
            <w:vMerge/>
            <w:tcBorders>
              <w:top w:val="single" w:sz="4" w:space="0" w:color="auto"/>
              <w:bottom w:val="nil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читать проектно-технологическую документацию;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пользоваться компьютером с применением специализированного программного обеспечения; определять глубину заложения фундамента;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выполнять теплотехнический расчет ограждающих конструкций;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подбирать строительные конструкции для разработки архитектурно-строительных чертежей;</w:t>
            </w:r>
          </w:p>
        </w:tc>
      </w:tr>
      <w:tr w:rsidR="00A26EF3" w:rsidRPr="00A26EF3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выполнять расчеты нагрузок, действующих на конструкции;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строить расчетную схему конструкции по конструктивной схеме;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выполнять статический расчет;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проверять несущую способность конструкций;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подбирать сечение элемента от приложенных нагрузок;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выполнять расчеты соединений элементов конструкции;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определять номенклатуру и осуществлять расчет объемов (количества) и графика поставки строительных материалов, конструкций, изделий, оборудования и других видов материально-технических ресурсов в соответствии с производственными заданиями и календарными планами производства строительных работ на объекте капитального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разрабатывать графики эксплуатации (движения)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- методы расчетов линейных и сетевых графиков, проектирования строительных генеральных планов;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графики потребности в основных строительных машинах, транспортных средствах и в кадрах строителей по основным категориям особенности выполнения строительных чертежей;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- графические обозначения материалов и элементов конструкций;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- требования нормативно-технической документации на оформление строительных чертежей;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- требования к элементам конструкций здания, помещения и общего имущества многоквартирных жилых домов, обусловленных необходимостью их доступности и соответствия особым потребностям инвалидов.</w:t>
            </w:r>
          </w:p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читать проектно-технологическую документацию;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пользоваться компьютером с применением специализированного программного обеспечения; определять глубину заложения фундамента;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выполнять теплотехнический расчет ограждающих конструкций;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подбирать строительные конструкции для разработки архитектурно-строительных чертежей;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выполнять расчеты нагрузок, действующих на конструкции;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строить расчетную схему конструкции по конструктивной схеме;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выполнять статический расчет;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проверять несущую способность конструкций;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подбирать сечение элемента от приложенных нагрузок;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выполнять расчеты соединений элементов конструкции;</w:t>
            </w:r>
          </w:p>
        </w:tc>
      </w:tr>
      <w:tr w:rsidR="00A26EF3" w:rsidRPr="00A26EF3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определять номенклатуру и осуществлять расчет объемов (количества) и графика поставки строительных материалов, конструкций, изделий, оборудования и других видов материально-технических ресурсов в соответствии с производственными заданиями и календарными планами производства строительных работ на объекте капитального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разрабатывать графики эксплуатации (движения)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определять состав и расчет показателей использования трудовых и материально-технических ресурсов;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заполнять унифицированные формы плановой документации распределения ресурсов при производстве строительных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определять перечень необходимого обеспечения работников бытовыми и санитарно-гигиеническими помещениями.</w:t>
            </w:r>
          </w:p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26EF3" w:rsidRPr="00A26EF3" w:rsidRDefault="00A26E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подборе строительных конструкций и материалов;</w:t>
            </w:r>
          </w:p>
          <w:p w:rsidR="00A26EF3" w:rsidRPr="00A26EF3" w:rsidRDefault="00A26E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разработке узлов и деталей конструктивных элементов зданий;</w:t>
            </w:r>
          </w:p>
          <w:p w:rsidR="00A26EF3" w:rsidRPr="00A26EF3" w:rsidRDefault="00A26E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разработке архитектурно-строительных чертежей; выполнении расчетов по проектированию строительных конструкций, оснований;</w:t>
            </w:r>
          </w:p>
          <w:p w:rsidR="00A26EF3" w:rsidRPr="00A26EF3" w:rsidRDefault="00A26E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и описании работ, спецификаций, таблиц и другой технической документации для разработки линейных и сетевых графиков производства работ;</w:t>
            </w:r>
          </w:p>
          <w:p w:rsidR="00A26EF3" w:rsidRPr="00A26EF3" w:rsidRDefault="00A26E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разработке и согласовании календарных планов производства строительных работ на объекте капитального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разработке карт технологических и трудовых процессов.</w:t>
            </w:r>
          </w:p>
        </w:tc>
      </w:tr>
      <w:tr w:rsidR="00A26EF3" w:rsidRPr="00A26EF3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требования нормативных технических документов, определяющих состав и порядок обустройства строительной площадки;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требования нормативных технических документов к производству строительно-монтажных, в том числе отделочных работ на объекте капитального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технологии производства строительно-монтажных работ; в том числе отделочных работ, работ по тепло- и звукоизоляции, огнезащите и антивандальной защите;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технологии, виды и способы устройства систем электрохимической защиты;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технологии катодной защиты объектов;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содержание и основные этапы выполнения геодезических разбивочных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методы визуального и инструментального контроля качества и объемов (количества) поставляемых материально-технических ресурсов;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правила транспортировки, складирования и хранения различных видов материально-технических ресурсов;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требования нормативной технической и проектной документации к составу и качеству производства строительных работ на объекте капитального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методы определения видов, сложности и объемов строительных работ и производственных заданий;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требования нормативной технической и технологической документации к составу и содержанию операционного контроля строительных процессов и (или) производственных операций при производстве строительно-монтажных, в том числе отделочных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требования законодательства Российской Федерации к порядку приема-передачи законченных объектов капитального строительства и этапов комплексов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нормативных технических документов к </w:t>
            </w: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порядку приемки скрытых работ и строительных конструкций, влияющих на безопасность объекта капитального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методы и средства инструментального контроля качества результатов производства строительно-монтажных, в том числе отделочных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технические условия и национальные стандарты на принимаемые работы;</w:t>
            </w:r>
          </w:p>
        </w:tc>
      </w:tr>
      <w:tr w:rsidR="00A26EF3" w:rsidRPr="00A26EF3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особенности производства строительных работ на опасных, технически сложных и уникальных объектах капитального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нормы по защите от коррозии опасных производственных объектов, а также межгосударственные и отраслевые стандарты;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правила и порядок наладки и регулирования контрольно-измерительных инструментов, оборудования электрохимической защиты;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порядок оформления заявок на строительные материалы, изделия и конструкции, оборудование (инструменты, инвентарные приспособления), строительную технику (машины и механизмы);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схемы операционного контроля качества строительно-монтажных, в том числе отделочных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рациональное применение строительных машин и средств малой механизации;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правила содержания и эксплуатации техники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современную методическую и сметно-нормативную базу ценообразования в строительстве;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правила ведения исполнительной и учетной документации при производстве строительных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порядок составления внутренней отчетности по контролю качества строительно-монтажных, в том числе отделочных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методы и средства 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устранения дефектов результатов производства строительных работ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методы профилактики дефектов систем защитных покрытий;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перспективные организационные, технологические и технические решения в области производства строительных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основания и порядок принятия решений о консервации незавершенного объекта капитального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 работ по консервации незавершенного объекта капитального строительства и порядок их документального оформления.</w:t>
            </w:r>
          </w:p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читать проектно-технологическую документацию;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осуществлять планировку и разметку участка производства строительных работ на объекте капитального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осуществлять производство строительно-монтажных, в том числе отделочных работ в соответствии с требованиями нормативно-технической документации, требованиями договора, рабочими чертежами и проектом производства работ;</w:t>
            </w:r>
          </w:p>
        </w:tc>
      </w:tr>
      <w:tr w:rsidR="00A26EF3" w:rsidRPr="00A26EF3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осуществлять документальное сопровождение производства строительных работ (журналы производства работ, акты выполненных работ);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осуществлять визуальный и инструментальный (геодезический) контроль положений элементов, конструкций, частей и элементов отделки объекта капитального строительства (строения, сооружения), инженерных сетей;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обеспечивать приемку и хранение материалов, изделий, конструкций в соответствии с нормативно-технической документацией;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формировать и поддерживать систему учетно-отчетной документации по движению (приходу, расходу) материально-технических ресурсов на складе;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распределять машины и средства малой механизации по типам, назначению, видам выполняемых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проводить обмерные работы;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определять объемы выполняемых строительно-монтажных, в том числе и отделочных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осуществлять документальное оформление заявки, приемки, распределения, учета и хранения материально-технических ресурсов (заявки, ведомости расхода и списания материальных ценностей);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распознавать различные виды дефектов отделочных, изоляционных и защитных покрытий по результатам измерительного и инструментального контроля;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определять перечень работ по обеспечению безопасности участка производства строительных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вести операционный контроль технологической последовательности производства строительно-</w:t>
            </w: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монтажных, в том числе отделочных работ, устраняя нарушения технологии и обеспечивая качество строительных работ в соответствии с нормативно-технической документацией;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осуществлять документальное сопровождение результатов операционного контроля качества работ (журнал операционного контроля качества работ, акты скрытых работ, акты промежуточной приемки ответственных конструкций);</w:t>
            </w:r>
          </w:p>
          <w:p w:rsidR="00A26EF3" w:rsidRPr="00A26EF3" w:rsidRDefault="00A26E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калькулировать сметную, плановую, фактическую себестоимость строительных работ на основе утвержденной документации;</w:t>
            </w:r>
          </w:p>
          <w:p w:rsidR="00A26EF3" w:rsidRPr="00A26EF3" w:rsidRDefault="00A26EF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определять величину прямых и косвенных затрат в составе сметной, плановой, фактической себестоимости строительных работ на основе утвержденной документации;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оформлять периодическую отчетную документацию по контролю использования сметных лимитов.</w:t>
            </w:r>
          </w:p>
        </w:tc>
      </w:tr>
      <w:tr w:rsidR="00A26EF3" w:rsidRPr="00A26EF3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подготовке строительной площадки, участков произво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дств стр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оительных работ и рабочих мест в соответствии с требованиями технологического процесса, охраны труда, пожарной безопасности и охраны окружающей среды;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определении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перечня работ по обеспечению безопасности строительной площадки;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организации и выполнении производства строительно-монтажных, в том числе отделочных работ, работ по тепло- и звукоизоляции, огнезащите и антивандальной защите на объекте капитального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определении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потребности производства строительно-монтажных работ, в том числе отделочных работ, на объекте капитального строительства в материально-технических ресурсах;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оформлении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заявки, приемке, распределении, учете и хранении материально-технических ресурсов для производства строительных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и объема количества материально-технических ресурсов для производства строительных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разработке, планировании и контроле выполнения оперативных мер, направленных на исправление дефектов результатов однотипных строительных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калькуляций сметных затрат на используемые материально-технические ресурсы;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составлении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первичной учетной документации по выполненным строительно-монтажным, в том числе отделочным работам в подразделении строительной организации;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представлении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проверки и сопровождении при проверке и согласовании первичной учетной документации по выполненным строительно-монтажным, в том числе отделочным работам;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планировании и контроле выполнения мер, направленных на предупреждение и устранение 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причин возникновения отклонений результатов выполненных строительных работ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от требований нормативной технической, технологической и проектной документации.</w:t>
            </w:r>
          </w:p>
        </w:tc>
      </w:tr>
      <w:tr w:rsidR="00A26EF3" w:rsidRPr="00A26EF3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основы документоведения, современные стандартные требования к отчетности;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состав, требования к оформлению, отчетности, хранению проектно-сметной документации, правила передачи проектно-сметной документации; методы технико-экономического анализа производственно-хозяйственной деятельности при производстве строительно-монтажных, в том числе отделочных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методы и средства организационной и технологической оптимизации производства строительно-монтажных, в том числе отделочных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методы оперативного планирования производства однотипных строительных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методы среднесрочного и оперативного планирования производства строительно-монтажных, в том числе отделочных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инструменты управления ресурсами в строительстве, включая классификации и кодификации ресурсов, основные группы показателей для сбора статистической и аналитической информации;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методы расчета показателей использования ресурсов в строительстве;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приемы и методы управления структурными </w:t>
            </w: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подразделениями при выполнении производства строительно-монтажных, в том числе отделочных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основания и меры ответственности за нарушение трудового законодательства;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трудового законодательства Российской Федерации, права и обязанности работников;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нормативные требования к количеству и профессиональной квалификации работников участка производства однотипных строительно-монтажных, в том числе отделочных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методы проведения </w:t>
            </w:r>
            <w:proofErr w:type="spell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нормоконтроля</w:t>
            </w:r>
            <w:proofErr w:type="spell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производственных заданий и отдельных работ; основные меры поощрения работников, виды дисциплинарных взысканий;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основные методы оценки эффективности труда;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основные формы организации профессионального обучения на рабочем месте и в трудовом коллективе;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виды документов, подтверждающих профессиональную квалификацию и наличие допусков к отдельным видам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требования нормативных документов в области охраны труда, пожарной безопасности и охраны окружающей среды при производстве строительных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основные санитарные правила и нормы, применяемые при производстве строительных работ;</w:t>
            </w:r>
          </w:p>
        </w:tc>
      </w:tr>
      <w:tr w:rsidR="00A26EF3" w:rsidRPr="00A26EF3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основные вредные и (или) опасные производственные факторы, виды негативного воздействия на окружающую среду при проведении различных видов строительных работ и методы их минимизации и предотвращения;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требования к рабочим местам и порядок организации и проведения специальной оценки условий труда;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правила ведения документации по контролю исполнения требований охраны труда, пожарной безопасности и охраны окружающей среды;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методы оказания первой помощи пострадавшим при несчастных случаях;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меры административной и уголовной ответственности, применяемые при нарушении требований охраны труда, пожарной безопасности и охране окружающей среды.</w:t>
            </w:r>
          </w:p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технико-экономический анализ производственно-хозяйственной деятельности при производстве строительно-монтажных, в том числе </w:t>
            </w: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отделочных работ на объекте капитального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подготавливать документы для оформления разрешений и допусков для производства строительных работ на объекте капитального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разрабатывать и планировать мероприятия по повышению эффективности производственно-хозяйственной деятельности;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составлять заявки на финансирование на основе проверенной и согласованной первичной учетной документации;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применять данные первичной учетной документации для расчета затрат по отдельным статьям расходов;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разрабатывать и вести реестры договоров поставки материально-технических ресурсов и оказания услуг по их использованию;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proofErr w:type="spell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нормоконтроль</w:t>
            </w:r>
            <w:proofErr w:type="spell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производственных заданий и отдельных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вести табели учета рабочего времени, устанавливать соответствие фактически выполненных видов и комплексов работ работам, заявленным в договоре подряда и сметной документации;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применять группы плановых показателей для учета и контроля использования материально-технических и финансовых ресурсов;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обосновывать претензии к подрядчику или поставщику в случае необходимости;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разрабатывать исполнительно-техническую документацию по выполненным этапам и комплексам строительных работ;</w:t>
            </w:r>
          </w:p>
        </w:tc>
      </w:tr>
      <w:tr w:rsidR="00A26EF3" w:rsidRPr="00A26EF3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осуществлять анализ профессиональной квалификации работников и определять недостающие компетенции;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осуществлять оценку результативности и качества выполнения работниками производственных заданий, эффективности выполнения работниками должностных (функциональных) обязанностей;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вносить предложения о мерах поощрения и взыскания работников;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определять оптимальную структуру распределения работников для выполнения календарных планов строительных работ и производственных заданий;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вредные и (или) опасные факторы воздействия производства строительных работ, использования строительной техники и складирования </w:t>
            </w: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материалов, изделий и конструкций на работников и окружающую среду;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определять перечень рабочих мест, подлежащих специальной оценке условий труда, определять перечень необходимых средств коллективной и индивидуальной защиты работников;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определять перечень работ по обеспечению безопасности строительной площадки;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оформлять документацию по исполнению правил по охране труда, требований пожарной безопасности и охраны окружающей среды.</w:t>
            </w:r>
          </w:p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сборе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, обработке и накоплении научно-технической информации в области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оперативном 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планировании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 строительно-монтажных, в том числе отделочных работ, и производственных заданий на объекте капитального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обеспечении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структурных подразделений;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согласовании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календарных планов производства однотипных строительных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структурных подразделений;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обеспечении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требований охраны труда, безопасности жизнедеятельности и защиты окружающей среды при выполнении строительных работ на объекте капитального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инструктажа работникам по правилам охраны труда и требованиям пожарной безопасности;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планировании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и контроле выполнения и документального оформления инструктажа работников в соответствии с требованиями охраны труда и пожарной безопасности;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подготовке участков производства работ и рабочих мест для проведения специальной оценки условий труда;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на объекте капитального строительства требований охраны труда, пожарной безопасности и охраны окружающей среды.</w:t>
            </w:r>
          </w:p>
        </w:tc>
      </w:tr>
      <w:tr w:rsidR="00A26EF3" w:rsidRPr="00A26EF3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видов работ при эксплуатации и реконструкци</w:t>
            </w: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строительных объектов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методы визуального и инструментального обследования;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 методы оценки физического износа конструктивных элементов, элементов отделки внутренних и наружных поверхностей и систем </w:t>
            </w: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инженерного оборудования жилых зданий;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основные методы усиления конструкций;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 при проведении обследований технического состояния элементов зданий;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пособие по оценке физического износа жилых и общественных зданий;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положение по техническому обследованию жилых зданий;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правила и нормы технической эксплуатации жилищного фонда;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обязательные для соблюдения стандарты и нормативы предоставления жилищно-коммунальных услуг;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основной порядок производственно-хозяйственной деятельности при осуществлении технической эксплуатации;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организацию и планирование текущего ремонта общего имущества многоквартирного дома;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нормативы продолжительности текущего ремонта;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перечень работ, относящихся к текущему ремонту;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периодичность работ текущего ремонта;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оценку качества ремонтно-строительных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методы и технологию проведения ремонтных работ;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другие нормативные и методические документы, регламентирующие производственную деятельность в соответствии со спецификой выполняемых работ.</w:t>
            </w:r>
          </w:p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проверять техническое состояние конструктивных элементов, элементов отделки внутренних и наружных поверхностей и систем инженерного оборудования общего имущества жилого здания;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пользоваться современным диагностическим оборудованием для выявления скрытых дефектов;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оперативно реагировать на устранение аварийных ситуаций;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проводить постоянный анализ технического состояния инженерных элементов и систем инженерного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владеть методологией визуального осмотра конструктивных элементов и систем инженерного оборудования, выявления признаков повреждений и их количественной оценки;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владеть методами инструментального обследования технического состояния жилых зданий;</w:t>
            </w:r>
          </w:p>
        </w:tc>
      </w:tr>
      <w:tr w:rsidR="00A26EF3" w:rsidRPr="00A26EF3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использовать инструментальный контроль технического состояния конструкций и инженерного оборудования для выявления неисправностей и причин их появления, а также для уточнения объемов работ по текущему ремонту и общей оценки технического состояния здания;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организовывать внедрение передовых методов и приемов труда;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определять необходимые виды и объемы работ для восстановления эксплуатационных свойств элементов внешнего благоустройства;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подготавливать документы, относящиеся к организации проведения и приемки работ по содержанию и благоустройству;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составлять дефектную ведомость на ремонт объекта по отдельным наименованиям работ на основе выявленных неисправностей элементов здания;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составлять планы-графики проведения различных видов работ текущего ремонта;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организовывать взаимодействие между всеми субъектами капитального ремонта;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проверять и оценивать проектно-сметную документацию на капитальный ремонт, порядок ее согласования;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составлять техническое задание для конкурсного отбора подрядчиков;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планировать все виды капитального ремонта и другие ремонтно-реконструктивные мероприятия;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качества проведения строительных работ на всех этапах;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определять необходимые виды и объемы ремонтно-строительных работ для восстановления эксплуатационных свойств элементов объектов;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оценивать и анализировать результаты проведения текущего ремонта;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подготавливать документы, относящиеся к организации проведения и приемки работ по ремонту.</w:t>
            </w:r>
          </w:p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технических осмотров общего имущества (конструкций и инженерного оборудования) и подготовки к сезонной эксплуатации;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санитарному содержанию общего имущества и придомовой территории;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санитарного содержания общего имущества и придомовой территории;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разработке перечня (описи) работ по текущему ремонту;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оценке физического износа и контроле технического состояния конструктивных элементов и систем инженерного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ремонта;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участии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капитального ремонта;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ремонтных работ.</w:t>
            </w:r>
          </w:p>
        </w:tc>
      </w:tr>
      <w:tr w:rsidR="00A26EF3" w:rsidRPr="00A26EF3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Вспомогательная деятельность по сбору и хранению информации, необходимой для обеспечения строительного производства строительными и вспомогательными материалами и оборудованием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наименования и основную номенклатуру строительных и вспомогательных материалов и оборудования, используемых в строительном производстве, с привязкой к поставщикам и (или) производителям;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методы определения потребности в строительных и вспомогательных материалах и оборудовании, используемых в строительном производстве;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правила хранения исходной и текущей документации на поставку строительных и вспомогательных материалов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способы обработки информации с использованием программного обеспечения и компьютерных средств;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правила работы с базой данных и массивами информации по строительным и вспомогательным материалам и оборудованию в привязке к поставщикам и (или) производителям.</w:t>
            </w:r>
          </w:p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классифицировать строительные и вспомогательные материалы и оборудование с привязкой к поставщикам и (или) производителям;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взаимодействовать с другими специалистами строительной организации по вопросам потребности строительного производства в строительных и вспомогательных материалах и оборудовании;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пользоваться нормативной информацией о лимитах расходования строительных и вспомогательных материалов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обобщать информацию и рассчитывать показатели потребности в строительных и вспомогательных материалах и оборудовании;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обобщать информацию о заключенных договорах на поставку строительных и вспомогательных материалов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систематизировать данные о поставщиках и производителях строительных и вспомогательных </w:t>
            </w: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 и оборудования по номенклатуре, техническим и ценовым характеристикам.</w:t>
            </w:r>
          </w:p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получении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, обобщении и приведении к единому формату и размерности исходной информации о строительных и вспомогательных материалах и оборудовании;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составлении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спецификаций и таблиц, отражающих информацию о потребности в строительных и вспомогательных материалах и оборудовании;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передаче сводных спецификаций и таблиц специалисту более высокого квалифицированного уровня для их анализа, проверки и внесения необходимых изменений и дополнений;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формировании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и хранении базы данных о строительных и вспомогательных материалах и оборудовании в привязке к поставщикам и/или производителям;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сборе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номенклатуре, ценовых и натуральных показателях потребности в строительных и вспомогательных материалах и оборудовании по объектам строительства;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сборе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поставщиках, производителях и ценах по номенклатуре и технических характеристиках строительных и вспомогательных материалов и оборудовании;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формировании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и хранении бумажного и электронного вариантов архива заключенных договоров на поставку строительных и вспомогательных материалов и оборудования.</w:t>
            </w:r>
          </w:p>
        </w:tc>
      </w:tr>
      <w:tr w:rsidR="00A26EF3" w:rsidRPr="00A26EF3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работы складского хозяйства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номенклатуру и основные характеристики строительных и вспомогательных материалов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порядок учета, приемки, хранения, выдачи и списания строительных и вспомогательных материалов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стандарты и технические условия на хранение строительных и вспомогательных материалов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правила складского учета и составления материальных отчетов движения грузов, а также первичных документов;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правила проведения инвентаризации строительных и вспомогательных материалов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нормируемым запасам строительных и вспомогательных материалов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правила поддержания температурно-влажностного режима и других технических условий хранения строительных и вспомогательных материалов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требования к оснащению складских помещений погрузо-разгрузочными машинами и механизмами и правила размещения строительных и вспомогательных материалов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нормы, правила и инструкции по охране труда при работе на территории склада и использовании погрузо-разгрузочных машин и механизмов;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порядок действий при возникновении возгорания, заливов и других чрезвычайных ситуаций;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методы обработки информации с использованием программного обеспечения и компьютерных средств.</w:t>
            </w:r>
          </w:p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размещать на складской территории материально-технические ресурсы с учетом рационального использования складских площадей, облегчения поиска складируемой продукции и доступа к ней для погрузки и вывоза с территории склада;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классифицировать первичные документы по поступающим на склад материально-техническим ресурсам;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формировать и поддерживать систему учетно-отчетной документации по движению (приходу, расходу) материально-технических ресурсов на складе;</w:t>
            </w:r>
          </w:p>
        </w:tc>
      </w:tr>
      <w:tr w:rsidR="00A26EF3" w:rsidRPr="00A26EF3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A26EF3" w:rsidRPr="00A26EF3" w:rsidRDefault="00A26E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работать с компьютером в качестве пользователя с применением специализированного программного обеспечения;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выявлять на основе данных складского учета отклонения фактического остатка хранящихся грузов от установленной нормы запаса, а также остатки, находящиеся без движения;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применять правила инвентаризации строительных и вспомогательных материалов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пользоваться приборами контроля температурно-влажностного режима и других технических условий хранения строительных и вспомогательных материалов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деятельность рабочих склада и </w:t>
            </w:r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водителей погрузо-разгрузочных машин и механизмов на складе с соблюдением норм, правил и инструкций по охране труда и пожарной безопасности;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разрабатывать и реализовывать мероприятия по восстановлению режима хранения строительных и вспомогательных материалов и оборудования на складе; пользоваться системой видеонаблюдения за территорией складов.</w:t>
            </w:r>
          </w:p>
          <w:p w:rsidR="00A26EF3" w:rsidRPr="00A26EF3" w:rsidRDefault="00A26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обеспечении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 необходимой техники и территории склада для разгрузки, а также мест для складирования и хранения в соответствии с установленными правилами размещения грузов;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организации приемки строительных и вспомогательных материалов и оборудования: разгрузка и доставка грузов на места хранения с учетом рационального использования складских площадей, облегчения доступа к складируемой продукции, ее поиска, погрузки и вывоза с территории склада;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составлении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картотеки складского учета, внесении в нее записи на основании оформленных в установленном порядке и исполненных первичных документов;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ведении учета остатков хранящихся на складе строительных и вспомогательных материалов и оборудования, сопоставлении количества, указанного в первичных документах, с установленным лимитом расхода, получении документов на выдачу строительных и вспомогательных материалов и оборудования;</w:t>
            </w:r>
            <w:proofErr w:type="gramEnd"/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выдаче строительных и вспомогательных материалов и оборудования, организации отгрузки и внесении соответствующих записей в систему учета;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оформлении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и представлении в бухгалтерию строительной организации материальных отчетов, отражающих движение (приход, расход) строительных и вспомогательных материалов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организации проверки фактического наличия строительных и вспомогательных материалов и оборудования, а также списании пришедших в негодность хранящихся на складе ресурсов;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подготовке информации об отклонениях фактического остатка хранящихся грузов от установленной нормы запаса, а также об остатках, находящихся без движения, для принятия решения об их ликвидации;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инструктировании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склада по охране труда, </w:t>
            </w:r>
            <w:bookmarkStart w:id="9" w:name="_GoBack"/>
            <w:bookmarkEnd w:id="9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внесении в специальный журнал записи о проведении инструктажа;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ознакомлении работников </w:t>
            </w: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склада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с правилами обеспечения сохранности хранящихся на складе строительных и вспомогательных материалов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обеспечении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температурно-влажностного режима и других технических условий хранения строительных и вспомогательных материалов и оборудования;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контроле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погрузочно-разгрузочных работ при приеме и отпуске материальных ценностей с целью обеспечения их сохранности;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организации системы видеонаблюдения и контроля охраны территории склада;</w:t>
            </w:r>
          </w:p>
          <w:p w:rsidR="00A26EF3" w:rsidRPr="00A26EF3" w:rsidRDefault="00A26E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>обеспечении</w:t>
            </w:r>
            <w:proofErr w:type="gramEnd"/>
            <w:r w:rsidRPr="00A26EF3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в исправности подъездных путей.</w:t>
            </w:r>
          </w:p>
        </w:tc>
      </w:tr>
    </w:tbl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EF3" w:rsidRPr="00A26EF3" w:rsidRDefault="00A26EF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A2C51" w:rsidRPr="00A26EF3" w:rsidRDefault="00FA2C51">
      <w:pPr>
        <w:rPr>
          <w:rFonts w:ascii="Times New Roman" w:hAnsi="Times New Roman" w:cs="Times New Roman"/>
          <w:sz w:val="28"/>
          <w:szCs w:val="28"/>
        </w:rPr>
      </w:pPr>
    </w:p>
    <w:sectPr w:rsidR="00FA2C51" w:rsidRPr="00A26EF3" w:rsidSect="00A2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F3"/>
    <w:rsid w:val="004439EF"/>
    <w:rsid w:val="00A26EF3"/>
    <w:rsid w:val="00FA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26E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26E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6E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26E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26E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6E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4361&amp;dst=100339" TargetMode="External"/><Relationship Id="rId18" Type="http://schemas.openxmlformats.org/officeDocument/2006/relationships/hyperlink" Target="https://login.consultant.ru/link/?req=doc&amp;base=LAW&amp;n=511253&amp;dst=100249" TargetMode="External"/><Relationship Id="rId26" Type="http://schemas.openxmlformats.org/officeDocument/2006/relationships/hyperlink" Target="https://login.consultant.ru/link/?req=doc&amp;base=LAW&amp;n=428629&amp;dst=105224" TargetMode="External"/><Relationship Id="rId39" Type="http://schemas.openxmlformats.org/officeDocument/2006/relationships/hyperlink" Target="https://login.consultant.ru/link/?req=doc&amp;base=LAW&amp;n=428629&amp;dst=105233" TargetMode="External"/><Relationship Id="rId21" Type="http://schemas.openxmlformats.org/officeDocument/2006/relationships/hyperlink" Target="https://login.consultant.ru/link/?req=doc&amp;base=LAW&amp;n=483090&amp;dst=108015" TargetMode="External"/><Relationship Id="rId34" Type="http://schemas.openxmlformats.org/officeDocument/2006/relationships/hyperlink" Target="https://login.consultant.ru/link/?req=doc&amp;base=LAW&amp;n=483090&amp;dst=108023" TargetMode="External"/><Relationship Id="rId42" Type="http://schemas.openxmlformats.org/officeDocument/2006/relationships/hyperlink" Target="https://login.consultant.ru/link/?req=doc&amp;base=LAW&amp;n=483090&amp;dst=108043" TargetMode="External"/><Relationship Id="rId47" Type="http://schemas.openxmlformats.org/officeDocument/2006/relationships/hyperlink" Target="https://login.consultant.ru/link/?req=doc&amp;base=LAW&amp;n=211563&amp;dst=100009" TargetMode="External"/><Relationship Id="rId50" Type="http://schemas.openxmlformats.org/officeDocument/2006/relationships/hyperlink" Target="https://login.consultant.ru/link/?req=doc&amp;base=LAW&amp;n=174597&amp;dst=100009" TargetMode="External"/><Relationship Id="rId55" Type="http://schemas.openxmlformats.org/officeDocument/2006/relationships/hyperlink" Target="https://login.consultant.ru/link/?req=doc&amp;base=LAW&amp;n=389823&amp;dst=100324" TargetMode="External"/><Relationship Id="rId7" Type="http://schemas.openxmlformats.org/officeDocument/2006/relationships/hyperlink" Target="https://login.consultant.ru/link/?req=doc&amp;base=LAW&amp;n=483090&amp;dst=108012" TargetMode="External"/><Relationship Id="rId12" Type="http://schemas.openxmlformats.org/officeDocument/2006/relationships/hyperlink" Target="https://login.consultant.ru/link/?req=doc&amp;base=LAW&amp;n=483090&amp;dst=108012" TargetMode="External"/><Relationship Id="rId17" Type="http://schemas.openxmlformats.org/officeDocument/2006/relationships/hyperlink" Target="https://login.consultant.ru/link/?req=doc&amp;base=LAW&amp;n=428629&amp;dst=105222" TargetMode="External"/><Relationship Id="rId25" Type="http://schemas.openxmlformats.org/officeDocument/2006/relationships/hyperlink" Target="https://login.consultant.ru/link/?req=doc&amp;base=LAW&amp;n=377712&amp;dst=100963" TargetMode="External"/><Relationship Id="rId33" Type="http://schemas.openxmlformats.org/officeDocument/2006/relationships/hyperlink" Target="https://login.consultant.ru/link/?req=doc&amp;base=LAW&amp;n=483090&amp;dst=108022" TargetMode="External"/><Relationship Id="rId38" Type="http://schemas.openxmlformats.org/officeDocument/2006/relationships/hyperlink" Target="https://login.consultant.ru/link/?req=doc&amp;base=LAW&amp;n=483090&amp;dst=108038" TargetMode="External"/><Relationship Id="rId46" Type="http://schemas.openxmlformats.org/officeDocument/2006/relationships/hyperlink" Target="https://login.consultant.ru/link/?req=doc&amp;base=LAW&amp;n=483090&amp;dst=108044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14720&amp;dst=100047" TargetMode="External"/><Relationship Id="rId20" Type="http://schemas.openxmlformats.org/officeDocument/2006/relationships/hyperlink" Target="https://login.consultant.ru/link/?req=doc&amp;base=LAW&amp;n=470946&amp;dst=4" TargetMode="External"/><Relationship Id="rId29" Type="http://schemas.openxmlformats.org/officeDocument/2006/relationships/hyperlink" Target="https://login.consultant.ru/link/?req=doc&amp;base=LAW&amp;n=428629&amp;dst=105227" TargetMode="External"/><Relationship Id="rId41" Type="http://schemas.openxmlformats.org/officeDocument/2006/relationships/hyperlink" Target="https://login.consultant.ru/link/?req=doc&amp;base=LAW&amp;n=483090&amp;dst=108042" TargetMode="External"/><Relationship Id="rId54" Type="http://schemas.openxmlformats.org/officeDocument/2006/relationships/hyperlink" Target="https://login.consultant.ru/link/?req=doc&amp;base=LAW&amp;n=389823&amp;dst=1017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8629&amp;dst=105221" TargetMode="External"/><Relationship Id="rId11" Type="http://schemas.openxmlformats.org/officeDocument/2006/relationships/hyperlink" Target="https://login.consultant.ru/link/?req=doc&amp;base=LAW&amp;n=428629&amp;dst=105221" TargetMode="External"/><Relationship Id="rId24" Type="http://schemas.openxmlformats.org/officeDocument/2006/relationships/hyperlink" Target="https://login.consultant.ru/link/?req=doc&amp;base=LAW&amp;n=483090&amp;dst=108017" TargetMode="External"/><Relationship Id="rId32" Type="http://schemas.openxmlformats.org/officeDocument/2006/relationships/hyperlink" Target="https://login.consultant.ru/link/?req=doc&amp;base=LAW&amp;n=428629&amp;dst=105229" TargetMode="External"/><Relationship Id="rId37" Type="http://schemas.openxmlformats.org/officeDocument/2006/relationships/hyperlink" Target="https://login.consultant.ru/link/?req=doc&amp;base=LAW&amp;n=483090&amp;dst=108037" TargetMode="External"/><Relationship Id="rId40" Type="http://schemas.openxmlformats.org/officeDocument/2006/relationships/hyperlink" Target="https://login.consultant.ru/link/?req=doc&amp;base=LAW&amp;n=483090&amp;dst=108039" TargetMode="External"/><Relationship Id="rId45" Type="http://schemas.openxmlformats.org/officeDocument/2006/relationships/hyperlink" Target="https://login.consultant.ru/link/?req=doc&amp;base=LAW&amp;n=511241" TargetMode="External"/><Relationship Id="rId53" Type="http://schemas.openxmlformats.org/officeDocument/2006/relationships/hyperlink" Target="https://login.consultant.ru/link/?req=doc&amp;base=LAW&amp;n=389823&amp;dst=100012" TargetMode="External"/><Relationship Id="rId58" Type="http://schemas.openxmlformats.org/officeDocument/2006/relationships/hyperlink" Target="https://login.consultant.ru/link/?req=doc&amp;base=LAW&amp;n=389823&amp;dst=10225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214720&amp;dst=100080" TargetMode="External"/><Relationship Id="rId23" Type="http://schemas.openxmlformats.org/officeDocument/2006/relationships/hyperlink" Target="https://login.consultant.ru/link/?req=doc&amp;base=LAW&amp;n=470946&amp;dst=4" TargetMode="External"/><Relationship Id="rId28" Type="http://schemas.openxmlformats.org/officeDocument/2006/relationships/hyperlink" Target="https://login.consultant.ru/link/?req=doc&amp;base=LAW&amp;n=511253&amp;dst=446" TargetMode="External"/><Relationship Id="rId36" Type="http://schemas.openxmlformats.org/officeDocument/2006/relationships/hyperlink" Target="https://login.consultant.ru/link/?req=doc&amp;base=LAW&amp;n=428629&amp;dst=105231" TargetMode="External"/><Relationship Id="rId49" Type="http://schemas.openxmlformats.org/officeDocument/2006/relationships/hyperlink" Target="https://login.consultant.ru/link/?req=doc&amp;base=LAW&amp;n=122537&amp;dst=100009" TargetMode="External"/><Relationship Id="rId57" Type="http://schemas.openxmlformats.org/officeDocument/2006/relationships/hyperlink" Target="https://login.consultant.ru/link/?req=doc&amp;base=LAW&amp;n=389823&amp;dst=102194" TargetMode="External"/><Relationship Id="rId10" Type="http://schemas.openxmlformats.org/officeDocument/2006/relationships/hyperlink" Target="https://login.consultant.ru/link/?req=doc&amp;base=LAW&amp;n=168840&amp;dst=100012" TargetMode="External"/><Relationship Id="rId19" Type="http://schemas.openxmlformats.org/officeDocument/2006/relationships/hyperlink" Target="http://www.pravo.gov.ru" TargetMode="External"/><Relationship Id="rId31" Type="http://schemas.openxmlformats.org/officeDocument/2006/relationships/hyperlink" Target="https://login.consultant.ru/link/?req=doc&amp;base=LAW&amp;n=411930&amp;dst=100030" TargetMode="External"/><Relationship Id="rId44" Type="http://schemas.openxmlformats.org/officeDocument/2006/relationships/hyperlink" Target="https://login.consultant.ru/link/?req=doc&amp;base=LAW&amp;n=428629&amp;dst=105244" TargetMode="External"/><Relationship Id="rId52" Type="http://schemas.openxmlformats.org/officeDocument/2006/relationships/hyperlink" Target="https://login.consultant.ru/link/?req=doc&amp;base=LAW&amp;n=198015&amp;dst=100009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618&amp;dst=100042" TargetMode="External"/><Relationship Id="rId14" Type="http://schemas.openxmlformats.org/officeDocument/2006/relationships/hyperlink" Target="https://login.consultant.ru/link/?req=doc&amp;base=LAW&amp;n=483090&amp;dst=108013" TargetMode="External"/><Relationship Id="rId22" Type="http://schemas.openxmlformats.org/officeDocument/2006/relationships/hyperlink" Target="https://login.consultant.ru/link/?req=doc&amp;base=LAW&amp;n=504361&amp;dst=100339" TargetMode="External"/><Relationship Id="rId27" Type="http://schemas.openxmlformats.org/officeDocument/2006/relationships/hyperlink" Target="https://login.consultant.ru/link/?req=doc&amp;base=LAW&amp;n=483090&amp;dst=108019" TargetMode="External"/><Relationship Id="rId30" Type="http://schemas.openxmlformats.org/officeDocument/2006/relationships/hyperlink" Target="https://login.consultant.ru/link/?req=doc&amp;base=LAW&amp;n=483090&amp;dst=108020" TargetMode="External"/><Relationship Id="rId35" Type="http://schemas.openxmlformats.org/officeDocument/2006/relationships/hyperlink" Target="https://login.consultant.ru/link/?req=doc&amp;base=LAW&amp;n=483090&amp;dst=108035" TargetMode="External"/><Relationship Id="rId43" Type="http://schemas.openxmlformats.org/officeDocument/2006/relationships/hyperlink" Target="https://login.consultant.ru/link/?req=doc&amp;base=LAW&amp;n=511253" TargetMode="External"/><Relationship Id="rId48" Type="http://schemas.openxmlformats.org/officeDocument/2006/relationships/hyperlink" Target="https://login.consultant.ru/link/?req=doc&amp;base=LAW&amp;n=279580&amp;dst=100010" TargetMode="External"/><Relationship Id="rId56" Type="http://schemas.openxmlformats.org/officeDocument/2006/relationships/hyperlink" Target="https://login.consultant.ru/link/?req=doc&amp;base=LAW&amp;n=389823&amp;dst=102158" TargetMode="External"/><Relationship Id="rId8" Type="http://schemas.openxmlformats.org/officeDocument/2006/relationships/hyperlink" Target="https://login.consultant.ru/link/?req=doc&amp;base=LAW&amp;n=504361&amp;dst=100339" TargetMode="External"/><Relationship Id="rId51" Type="http://schemas.openxmlformats.org/officeDocument/2006/relationships/hyperlink" Target="https://login.consultant.ru/link/?req=doc&amp;base=LAW&amp;n=174595&amp;dst=10000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11328</Words>
  <Characters>64574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2</cp:revision>
  <cp:lastPrinted>2025-09-05T03:47:00Z</cp:lastPrinted>
  <dcterms:created xsi:type="dcterms:W3CDTF">2025-09-05T03:45:00Z</dcterms:created>
  <dcterms:modified xsi:type="dcterms:W3CDTF">2025-09-05T04:37:00Z</dcterms:modified>
</cp:coreProperties>
</file>